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18902" w14:textId="77777777" w:rsidR="00F96445" w:rsidRDefault="00F96445" w:rsidP="00F96445">
      <w:pPr>
        <w:rPr>
          <w:rFonts w:ascii="Arial" w:hAnsi="Arial" w:cs="Arial"/>
          <w:lang w:val="nn-NO"/>
        </w:rPr>
      </w:pPr>
      <w:r>
        <w:rPr>
          <w:rFonts w:ascii="Arial" w:hAnsi="Arial" w:cs="Arial"/>
          <w:lang w:val="nn-NO"/>
        </w:rPr>
        <w:t>Mal for personalreglement – rettleiing til malen finst i Statens Personalhandbok</w:t>
      </w:r>
    </w:p>
    <w:p w14:paraId="78C209AF" w14:textId="77777777" w:rsidR="00F96445" w:rsidRDefault="00F96445" w:rsidP="00F96445">
      <w:pPr>
        <w:pStyle w:val="UnOverskrift1"/>
        <w:tabs>
          <w:tab w:val="left" w:pos="426"/>
        </w:tabs>
        <w:rPr>
          <w:rFonts w:cs="Arial"/>
          <w:sz w:val="22"/>
          <w:lang w:val="nn-NO"/>
        </w:rPr>
      </w:pPr>
      <w:r>
        <w:rPr>
          <w:rFonts w:cs="Arial"/>
          <w:sz w:val="22"/>
          <w:lang w:val="nn-NO"/>
        </w:rPr>
        <w:t>Del I Generelt</w:t>
      </w:r>
    </w:p>
    <w:p w14:paraId="46FA775C" w14:textId="77777777" w:rsidR="00F96445" w:rsidRDefault="00F96445" w:rsidP="00F96445">
      <w:pPr>
        <w:pStyle w:val="Overskrift1"/>
        <w:spacing w:before="360" w:after="80" w:line="276" w:lineRule="auto"/>
        <w:ind w:left="432" w:hanging="432"/>
        <w:rPr>
          <w:rFonts w:cs="Arial"/>
          <w:sz w:val="22"/>
          <w:szCs w:val="22"/>
          <w:lang w:val="nn-NO"/>
        </w:rPr>
      </w:pPr>
      <w:r>
        <w:rPr>
          <w:rFonts w:cs="Arial"/>
          <w:sz w:val="22"/>
          <w:szCs w:val="22"/>
          <w:lang w:val="nn-NO"/>
        </w:rPr>
        <w:t>Definisjonar, generelt om tilsetjingsmynde m.m.</w:t>
      </w:r>
    </w:p>
    <w:p w14:paraId="11C1D6C5" w14:textId="77777777" w:rsidR="00F96445" w:rsidRDefault="00F96445" w:rsidP="00F96445">
      <w:pPr>
        <w:tabs>
          <w:tab w:val="left" w:pos="426"/>
        </w:tabs>
        <w:rPr>
          <w:rFonts w:ascii="Arial" w:hAnsi="Arial" w:cs="Arial"/>
        </w:rPr>
      </w:pPr>
      <w:r>
        <w:rPr>
          <w:rFonts w:ascii="Arial" w:hAnsi="Arial" w:cs="Arial"/>
        </w:rPr>
        <w:t xml:space="preserve">1.1 </w:t>
      </w:r>
      <w:r>
        <w:rPr>
          <w:rFonts w:ascii="Arial" w:hAnsi="Arial" w:cs="Arial"/>
        </w:rPr>
        <w:tab/>
        <w:t xml:space="preserve">Direktøren blir </w:t>
      </w:r>
      <w:proofErr w:type="spellStart"/>
      <w:r>
        <w:rPr>
          <w:rFonts w:ascii="Arial" w:hAnsi="Arial" w:cs="Arial"/>
        </w:rPr>
        <w:t>utnemnd</w:t>
      </w:r>
      <w:proofErr w:type="spellEnd"/>
      <w:r>
        <w:rPr>
          <w:rFonts w:ascii="Arial" w:hAnsi="Arial" w:cs="Arial"/>
        </w:rPr>
        <w:t xml:space="preserve"> av Kongen i statsråd og er dermed embetsmann.</w:t>
      </w:r>
    </w:p>
    <w:p w14:paraId="54590EF1" w14:textId="77777777" w:rsidR="00F96445" w:rsidRDefault="00F96445" w:rsidP="00F96445">
      <w:pPr>
        <w:tabs>
          <w:tab w:val="left" w:pos="426"/>
        </w:tabs>
        <w:rPr>
          <w:rFonts w:ascii="Arial" w:hAnsi="Arial" w:cs="Arial"/>
        </w:rPr>
      </w:pPr>
      <w:r>
        <w:rPr>
          <w:rFonts w:ascii="Arial" w:hAnsi="Arial" w:cs="Arial"/>
        </w:rPr>
        <w:t>Alternativ:</w:t>
      </w:r>
    </w:p>
    <w:p w14:paraId="779F2969" w14:textId="77777777" w:rsidR="00F96445" w:rsidRDefault="00F96445" w:rsidP="00F96445">
      <w:pPr>
        <w:pStyle w:val="alfaliste2"/>
        <w:numPr>
          <w:ilvl w:val="1"/>
          <w:numId w:val="2"/>
        </w:numPr>
        <w:rPr>
          <w:rFonts w:cs="Arial"/>
        </w:rPr>
      </w:pPr>
      <w:r>
        <w:rPr>
          <w:rFonts w:cs="Arial"/>
        </w:rPr>
        <w:t xml:space="preserve">Direktøren blir </w:t>
      </w:r>
      <w:proofErr w:type="spellStart"/>
      <w:r>
        <w:rPr>
          <w:rFonts w:cs="Arial"/>
        </w:rPr>
        <w:t>oppnemnd</w:t>
      </w:r>
      <w:proofErr w:type="spellEnd"/>
      <w:r>
        <w:rPr>
          <w:rFonts w:cs="Arial"/>
        </w:rPr>
        <w:t xml:space="preserve"> av Kongen i statsråd.</w:t>
      </w:r>
    </w:p>
    <w:p w14:paraId="300496A2" w14:textId="77777777" w:rsidR="00F96445" w:rsidRDefault="00F96445" w:rsidP="00F96445">
      <w:pPr>
        <w:pStyle w:val="alfaliste2"/>
        <w:numPr>
          <w:ilvl w:val="1"/>
          <w:numId w:val="2"/>
        </w:numPr>
        <w:rPr>
          <w:rFonts w:cs="Arial"/>
        </w:rPr>
      </w:pPr>
      <w:r>
        <w:rPr>
          <w:rFonts w:cs="Arial"/>
        </w:rPr>
        <w:t>Direktøren blir tilsett av x-departementet.</w:t>
      </w:r>
    </w:p>
    <w:p w14:paraId="3B139780" w14:textId="77777777" w:rsidR="00F96445" w:rsidRDefault="00F96445" w:rsidP="00F96445">
      <w:pPr>
        <w:pStyle w:val="alfaliste2"/>
        <w:numPr>
          <w:ilvl w:val="1"/>
          <w:numId w:val="2"/>
        </w:numPr>
        <w:rPr>
          <w:rFonts w:cs="Arial"/>
        </w:rPr>
      </w:pPr>
      <w:r>
        <w:rPr>
          <w:rFonts w:cs="Arial"/>
        </w:rPr>
        <w:t xml:space="preserve">Direktøren blir tilsett av styret for </w:t>
      </w:r>
      <w:proofErr w:type="spellStart"/>
      <w:r>
        <w:rPr>
          <w:rFonts w:cs="Arial"/>
        </w:rPr>
        <w:t>verksemda</w:t>
      </w:r>
      <w:proofErr w:type="spellEnd"/>
      <w:r>
        <w:rPr>
          <w:rFonts w:cs="Arial"/>
        </w:rPr>
        <w:t>.</w:t>
      </w:r>
    </w:p>
    <w:p w14:paraId="79A7CA62" w14:textId="77777777" w:rsidR="00F96445" w:rsidRDefault="00F96445" w:rsidP="00F96445">
      <w:pPr>
        <w:rPr>
          <w:rFonts w:ascii="Arial" w:hAnsi="Arial" w:cs="Arial"/>
        </w:rPr>
      </w:pPr>
    </w:p>
    <w:p w14:paraId="350C1D58" w14:textId="77777777" w:rsidR="00F96445" w:rsidRDefault="00F96445" w:rsidP="00F96445">
      <w:pPr>
        <w:tabs>
          <w:tab w:val="left" w:pos="426"/>
        </w:tabs>
        <w:rPr>
          <w:rFonts w:ascii="Arial" w:hAnsi="Arial" w:cs="Arial"/>
        </w:rPr>
      </w:pPr>
      <w:r>
        <w:rPr>
          <w:rFonts w:ascii="Arial" w:hAnsi="Arial" w:cs="Arial"/>
        </w:rPr>
        <w:t xml:space="preserve">1.2 </w:t>
      </w:r>
      <w:r>
        <w:rPr>
          <w:rFonts w:ascii="Arial" w:hAnsi="Arial" w:cs="Arial"/>
        </w:rPr>
        <w:tab/>
        <w:t xml:space="preserve">Etter vedtak av x-departementet er det departementet som </w:t>
      </w:r>
      <w:proofErr w:type="spellStart"/>
      <w:r>
        <w:rPr>
          <w:rFonts w:ascii="Arial" w:hAnsi="Arial" w:cs="Arial"/>
        </w:rPr>
        <w:t>tilset</w:t>
      </w:r>
      <w:proofErr w:type="spellEnd"/>
      <w:r>
        <w:rPr>
          <w:rFonts w:ascii="Arial" w:hAnsi="Arial" w:cs="Arial"/>
        </w:rPr>
        <w:t xml:space="preserve"> </w:t>
      </w:r>
      <w:proofErr w:type="spellStart"/>
      <w:r>
        <w:rPr>
          <w:rFonts w:ascii="Arial" w:hAnsi="Arial" w:cs="Arial"/>
        </w:rPr>
        <w:t>assisterande</w:t>
      </w:r>
      <w:proofErr w:type="spellEnd"/>
      <w:r>
        <w:rPr>
          <w:rFonts w:ascii="Arial" w:hAnsi="Arial" w:cs="Arial"/>
        </w:rPr>
        <w:t xml:space="preserve"> direktør. Sjå statstilsettelova § 2 andre ledd.</w:t>
      </w:r>
    </w:p>
    <w:p w14:paraId="2CCE89AB" w14:textId="77777777" w:rsidR="00F96445" w:rsidRDefault="00F96445" w:rsidP="00F96445">
      <w:pPr>
        <w:tabs>
          <w:tab w:val="left" w:pos="426"/>
        </w:tabs>
        <w:spacing w:before="120"/>
        <w:rPr>
          <w:rFonts w:ascii="Arial" w:hAnsi="Arial" w:cs="Arial"/>
        </w:rPr>
      </w:pPr>
      <w:r>
        <w:rPr>
          <w:rFonts w:ascii="Arial" w:hAnsi="Arial" w:cs="Arial"/>
        </w:rPr>
        <w:t>Alternativ:</w:t>
      </w:r>
    </w:p>
    <w:p w14:paraId="0A8430A7" w14:textId="77777777" w:rsidR="00F96445" w:rsidRDefault="00F96445" w:rsidP="00F96445">
      <w:pPr>
        <w:pStyle w:val="alfaliste2"/>
        <w:numPr>
          <w:ilvl w:val="1"/>
          <w:numId w:val="3"/>
        </w:numPr>
        <w:rPr>
          <w:rFonts w:cs="Arial"/>
        </w:rPr>
      </w:pPr>
      <w:r>
        <w:rPr>
          <w:rFonts w:cs="Arial"/>
        </w:rPr>
        <w:t xml:space="preserve">Kongen </w:t>
      </w:r>
      <w:proofErr w:type="spellStart"/>
      <w:r>
        <w:rPr>
          <w:rFonts w:cs="Arial"/>
        </w:rPr>
        <w:t>utnemner</w:t>
      </w:r>
      <w:proofErr w:type="spellEnd"/>
      <w:r>
        <w:rPr>
          <w:rFonts w:cs="Arial"/>
        </w:rPr>
        <w:t xml:space="preserve"> </w:t>
      </w:r>
      <w:proofErr w:type="spellStart"/>
      <w:r>
        <w:rPr>
          <w:rFonts w:cs="Arial"/>
        </w:rPr>
        <w:t>assisterande</w:t>
      </w:r>
      <w:proofErr w:type="spellEnd"/>
      <w:r>
        <w:rPr>
          <w:rFonts w:cs="Arial"/>
        </w:rPr>
        <w:t xml:space="preserve"> direktør.</w:t>
      </w:r>
    </w:p>
    <w:p w14:paraId="0C4B2DBE" w14:textId="77777777" w:rsidR="00F96445" w:rsidRDefault="00F96445" w:rsidP="00F96445">
      <w:pPr>
        <w:pStyle w:val="alfaliste2"/>
        <w:numPr>
          <w:ilvl w:val="1"/>
          <w:numId w:val="3"/>
        </w:numPr>
        <w:rPr>
          <w:rFonts w:cs="Arial"/>
        </w:rPr>
      </w:pPr>
      <w:proofErr w:type="spellStart"/>
      <w:r>
        <w:rPr>
          <w:rFonts w:cs="Arial"/>
        </w:rPr>
        <w:t>Assisterande</w:t>
      </w:r>
      <w:proofErr w:type="spellEnd"/>
      <w:r>
        <w:rPr>
          <w:rFonts w:cs="Arial"/>
        </w:rPr>
        <w:t xml:space="preserve"> direktør blir tilsett av </w:t>
      </w:r>
      <w:proofErr w:type="spellStart"/>
      <w:r>
        <w:rPr>
          <w:rFonts w:cs="Arial"/>
        </w:rPr>
        <w:t>tilsetjingsrådet</w:t>
      </w:r>
      <w:proofErr w:type="spellEnd"/>
      <w:r>
        <w:rPr>
          <w:rFonts w:cs="Arial"/>
        </w:rPr>
        <w:t xml:space="preserve"> for y-</w:t>
      </w:r>
      <w:proofErr w:type="spellStart"/>
      <w:r>
        <w:rPr>
          <w:rFonts w:cs="Arial"/>
        </w:rPr>
        <w:t>stillingar</w:t>
      </w:r>
      <w:proofErr w:type="spellEnd"/>
      <w:r>
        <w:rPr>
          <w:rFonts w:cs="Arial"/>
        </w:rPr>
        <w:t>.</w:t>
      </w:r>
    </w:p>
    <w:p w14:paraId="3B2698E8" w14:textId="77777777" w:rsidR="00F96445" w:rsidRDefault="00F96445" w:rsidP="00F96445">
      <w:pPr>
        <w:rPr>
          <w:rFonts w:ascii="Arial" w:hAnsi="Arial" w:cs="Arial"/>
        </w:rPr>
      </w:pPr>
      <w:r>
        <w:rPr>
          <w:rFonts w:ascii="Arial" w:hAnsi="Arial" w:cs="Arial"/>
        </w:rPr>
        <w:br/>
        <w:t>Øvrige stillinger ansettes av ansettelsesråd, se personalreglementet punkt 6.</w:t>
      </w:r>
    </w:p>
    <w:p w14:paraId="52C4CFAD" w14:textId="77777777" w:rsidR="00F96445" w:rsidRDefault="00F96445" w:rsidP="00F96445">
      <w:pPr>
        <w:rPr>
          <w:rFonts w:ascii="Arial" w:hAnsi="Arial" w:cs="Arial"/>
        </w:rPr>
      </w:pPr>
    </w:p>
    <w:p w14:paraId="6360000E" w14:textId="77777777" w:rsidR="00F96445" w:rsidRDefault="00F96445" w:rsidP="00F96445">
      <w:pPr>
        <w:rPr>
          <w:rFonts w:ascii="Arial" w:hAnsi="Arial" w:cs="Arial"/>
          <w:lang w:val="nn-NO"/>
        </w:rPr>
      </w:pPr>
      <w:r>
        <w:rPr>
          <w:rFonts w:ascii="Arial" w:hAnsi="Arial" w:cs="Arial"/>
          <w:lang w:val="nn-NO"/>
        </w:rPr>
        <w:t>1.3  «Statstilsett» viser i dette reglementet til alle tilsette arbeidstakarar i verksemda.</w:t>
      </w:r>
    </w:p>
    <w:p w14:paraId="74EEFB9D" w14:textId="77777777" w:rsidR="00F96445" w:rsidRDefault="00F96445" w:rsidP="00F96445">
      <w:pPr>
        <w:rPr>
          <w:rFonts w:ascii="Arial" w:hAnsi="Arial" w:cs="Arial"/>
        </w:rPr>
      </w:pPr>
      <w:r>
        <w:rPr>
          <w:rFonts w:ascii="Arial" w:hAnsi="Arial" w:cs="Arial"/>
        </w:rPr>
        <w:t>Alternativ:</w:t>
      </w:r>
    </w:p>
    <w:p w14:paraId="0F37B0C5" w14:textId="77777777" w:rsidR="00F96445" w:rsidRDefault="00F96445" w:rsidP="00F96445">
      <w:pPr>
        <w:pStyle w:val="alfaliste2"/>
        <w:numPr>
          <w:ilvl w:val="1"/>
          <w:numId w:val="4"/>
        </w:numPr>
        <w:rPr>
          <w:rFonts w:cs="Arial"/>
        </w:rPr>
      </w:pPr>
      <w:r>
        <w:rPr>
          <w:rFonts w:cs="Arial"/>
        </w:rPr>
        <w:t>«</w:t>
      </w:r>
      <w:proofErr w:type="spellStart"/>
      <w:r>
        <w:rPr>
          <w:rFonts w:cs="Arial"/>
        </w:rPr>
        <w:t>Statstilsett</w:t>
      </w:r>
      <w:proofErr w:type="spellEnd"/>
      <w:r>
        <w:rPr>
          <w:rFonts w:cs="Arial"/>
        </w:rPr>
        <w:t xml:space="preserve">» viser i dette reglementet til alle </w:t>
      </w:r>
      <w:proofErr w:type="spellStart"/>
      <w:r>
        <w:rPr>
          <w:rFonts w:cs="Arial"/>
        </w:rPr>
        <w:t>stillingar</w:t>
      </w:r>
      <w:proofErr w:type="spellEnd"/>
      <w:r>
        <w:rPr>
          <w:rFonts w:cs="Arial"/>
        </w:rPr>
        <w:t xml:space="preserve"> som </w:t>
      </w:r>
      <w:proofErr w:type="spellStart"/>
      <w:r>
        <w:rPr>
          <w:rFonts w:cs="Arial"/>
        </w:rPr>
        <w:t>ikkje</w:t>
      </w:r>
      <w:proofErr w:type="spellEnd"/>
      <w:r>
        <w:rPr>
          <w:rFonts w:cs="Arial"/>
        </w:rPr>
        <w:t xml:space="preserve"> er embete.</w:t>
      </w:r>
    </w:p>
    <w:p w14:paraId="66853D6C" w14:textId="77777777" w:rsidR="00F96445" w:rsidRDefault="00F96445" w:rsidP="00F96445">
      <w:pPr>
        <w:pStyle w:val="alfaliste2"/>
        <w:numPr>
          <w:ilvl w:val="1"/>
          <w:numId w:val="4"/>
        </w:numPr>
        <w:rPr>
          <w:rFonts w:cs="Arial"/>
        </w:rPr>
      </w:pPr>
      <w:r>
        <w:rPr>
          <w:rFonts w:cs="Arial"/>
        </w:rPr>
        <w:t xml:space="preserve">«Tilsett» viser i dette reglementet til både embetsmenn og </w:t>
      </w:r>
      <w:proofErr w:type="spellStart"/>
      <w:r>
        <w:rPr>
          <w:rFonts w:cs="Arial"/>
        </w:rPr>
        <w:t>statstilsette</w:t>
      </w:r>
      <w:proofErr w:type="spellEnd"/>
      <w:r>
        <w:rPr>
          <w:rFonts w:cs="Arial"/>
        </w:rPr>
        <w:t xml:space="preserve"> i </w:t>
      </w:r>
      <w:proofErr w:type="spellStart"/>
      <w:r>
        <w:rPr>
          <w:rFonts w:cs="Arial"/>
        </w:rPr>
        <w:t>verksemda</w:t>
      </w:r>
      <w:proofErr w:type="spellEnd"/>
      <w:r>
        <w:rPr>
          <w:rFonts w:cs="Arial"/>
        </w:rPr>
        <w:t xml:space="preserve">, dersom </w:t>
      </w:r>
      <w:proofErr w:type="spellStart"/>
      <w:r>
        <w:rPr>
          <w:rFonts w:cs="Arial"/>
        </w:rPr>
        <w:t>ikkje</w:t>
      </w:r>
      <w:proofErr w:type="spellEnd"/>
      <w:r>
        <w:rPr>
          <w:rFonts w:cs="Arial"/>
        </w:rPr>
        <w:t xml:space="preserve"> anna er sagt eller går klart fram av </w:t>
      </w:r>
      <w:proofErr w:type="spellStart"/>
      <w:proofErr w:type="gramStart"/>
      <w:r>
        <w:rPr>
          <w:rFonts w:cs="Arial"/>
        </w:rPr>
        <w:t>samanhengen.Unntak</w:t>
      </w:r>
      <w:proofErr w:type="spellEnd"/>
      <w:proofErr w:type="gramEnd"/>
      <w:r>
        <w:rPr>
          <w:rFonts w:cs="Arial"/>
        </w:rPr>
        <w:t xml:space="preserve"> fra reglementsbestemmelsene</w:t>
      </w:r>
      <w:r>
        <w:rPr>
          <w:rFonts w:cs="Arial"/>
        </w:rPr>
        <w:br/>
      </w:r>
    </w:p>
    <w:p w14:paraId="2092397E" w14:textId="77777777" w:rsidR="00F96445" w:rsidRDefault="00F96445" w:rsidP="00F96445">
      <w:pPr>
        <w:pStyle w:val="Overskrift1"/>
        <w:spacing w:before="360" w:after="80" w:line="276" w:lineRule="auto"/>
        <w:ind w:left="432" w:hanging="432"/>
        <w:rPr>
          <w:rFonts w:cs="Arial"/>
          <w:sz w:val="22"/>
          <w:szCs w:val="22"/>
          <w:lang w:val="nn-NO"/>
        </w:rPr>
      </w:pPr>
      <w:r>
        <w:rPr>
          <w:rFonts w:cs="Arial"/>
          <w:sz w:val="22"/>
          <w:szCs w:val="22"/>
          <w:lang w:val="nn-NO"/>
        </w:rPr>
        <w:t>Unntak frå føresegnene i reglementet</w:t>
      </w:r>
    </w:p>
    <w:p w14:paraId="24B467C6" w14:textId="77777777" w:rsidR="00F96445" w:rsidRDefault="00F96445" w:rsidP="00F96445">
      <w:pPr>
        <w:tabs>
          <w:tab w:val="left" w:pos="426"/>
        </w:tabs>
        <w:rPr>
          <w:rFonts w:ascii="Arial" w:hAnsi="Arial" w:cs="Arial"/>
          <w:lang w:val="nn-NO"/>
        </w:rPr>
      </w:pPr>
      <w:r>
        <w:rPr>
          <w:rFonts w:ascii="Arial" w:hAnsi="Arial" w:cs="Arial"/>
          <w:lang w:val="nn-NO"/>
        </w:rPr>
        <w:t xml:space="preserve">2.1 </w:t>
      </w:r>
      <w:r>
        <w:rPr>
          <w:rFonts w:ascii="Arial" w:hAnsi="Arial" w:cs="Arial"/>
          <w:lang w:val="nn-NO"/>
        </w:rPr>
        <w:tab/>
        <w:t>Reglane i punkt 3–8 gjeld ikkje for tilsetjing av statstilsette i inntil seks månader. I desse tilsetjingssakene gjeld ikkje krava til offentleg utlysing, innstilling og tilsetjing, jf. statstilsettelova § 7 første ledd.</w:t>
      </w:r>
    </w:p>
    <w:p w14:paraId="37FDD7F8" w14:textId="77777777" w:rsidR="00F96445" w:rsidRDefault="00F96445" w:rsidP="00F96445">
      <w:pPr>
        <w:tabs>
          <w:tab w:val="left" w:pos="426"/>
        </w:tabs>
        <w:rPr>
          <w:rFonts w:ascii="Arial" w:hAnsi="Arial" w:cs="Arial"/>
          <w:lang w:val="nn-NO"/>
        </w:rPr>
      </w:pPr>
      <w:r>
        <w:rPr>
          <w:rFonts w:ascii="Arial" w:hAnsi="Arial" w:cs="Arial"/>
          <w:lang w:val="nn-NO"/>
        </w:rPr>
        <w:t>Direktøren (alternativ: ein annan tilsett leiar) eller den direktøren gir fullmakt, har tilsetjingsretten.</w:t>
      </w:r>
    </w:p>
    <w:p w14:paraId="2053120C" w14:textId="77777777" w:rsidR="00F96445" w:rsidRDefault="00F96445" w:rsidP="00F96445">
      <w:pPr>
        <w:tabs>
          <w:tab w:val="left" w:pos="426"/>
        </w:tabs>
        <w:rPr>
          <w:rFonts w:ascii="Arial" w:hAnsi="Arial" w:cs="Arial"/>
          <w:lang w:val="nn-NO"/>
        </w:rPr>
      </w:pPr>
      <w:r>
        <w:rPr>
          <w:rFonts w:ascii="Arial" w:hAnsi="Arial" w:cs="Arial"/>
          <w:lang w:val="nn-NO"/>
        </w:rPr>
        <w:t xml:space="preserve">2.2 </w:t>
      </w:r>
      <w:r>
        <w:rPr>
          <w:rFonts w:ascii="Arial" w:hAnsi="Arial" w:cs="Arial"/>
          <w:lang w:val="nn-NO"/>
        </w:rPr>
        <w:tab/>
        <w:t>For tilsetjingar i inntil eitt år kan ein unnlate å lyse ut den ledige stillinga offentleg, jf. punkt 3 nr. 2 i reglementet.</w:t>
      </w:r>
    </w:p>
    <w:p w14:paraId="2DE81EBE" w14:textId="77777777" w:rsidR="00F96445" w:rsidRDefault="00F96445" w:rsidP="00F96445">
      <w:pPr>
        <w:tabs>
          <w:tab w:val="left" w:pos="426"/>
        </w:tabs>
        <w:rPr>
          <w:rFonts w:ascii="Arial" w:hAnsi="Arial" w:cs="Arial"/>
          <w:lang w:val="nn-NO"/>
        </w:rPr>
      </w:pPr>
      <w:r>
        <w:rPr>
          <w:rFonts w:ascii="Arial" w:hAnsi="Arial" w:cs="Arial"/>
          <w:lang w:val="nn-NO"/>
        </w:rPr>
        <w:t>Den næraste leiaren gir innstilling, og direktøren (alternativ: ein annan tilsett leiar eller tilsetjingsrådet) eller den direktøren gir fullmakt, har tilsetjingsretten. Sjå statstilsettelova § 7 andre ledd.</w:t>
      </w:r>
    </w:p>
    <w:p w14:paraId="3CF02455" w14:textId="77777777" w:rsidR="00F96445" w:rsidRDefault="00F96445" w:rsidP="00F96445">
      <w:pPr>
        <w:tabs>
          <w:tab w:val="left" w:pos="426"/>
        </w:tabs>
        <w:rPr>
          <w:rFonts w:ascii="Arial" w:hAnsi="Arial" w:cs="Arial"/>
          <w:lang w:val="nn-NO"/>
        </w:rPr>
      </w:pPr>
      <w:r>
        <w:rPr>
          <w:rFonts w:ascii="Arial" w:hAnsi="Arial" w:cs="Arial"/>
          <w:lang w:val="nn-NO"/>
        </w:rPr>
        <w:t xml:space="preserve">2.3 </w:t>
      </w:r>
      <w:r>
        <w:rPr>
          <w:rFonts w:ascii="Arial" w:hAnsi="Arial" w:cs="Arial"/>
          <w:lang w:val="nn-NO"/>
        </w:rPr>
        <w:tab/>
        <w:t>Ei tilsetjing eller forlenging av tilsetjingsforholdet som vil strekkje seg utover seks månader eller eitt år, jf. nr. 2.1 og 2.2 ovanfor, skal behandlast etter dei vanlege reglane i reglementet.</w:t>
      </w:r>
    </w:p>
    <w:p w14:paraId="63AEAB64" w14:textId="77777777" w:rsidR="00F96445" w:rsidRDefault="00F96445" w:rsidP="00F96445">
      <w:pPr>
        <w:tabs>
          <w:tab w:val="left" w:pos="426"/>
        </w:tabs>
        <w:rPr>
          <w:rFonts w:ascii="Arial" w:hAnsi="Arial" w:cs="Arial"/>
          <w:lang w:val="nn-NO"/>
        </w:rPr>
      </w:pPr>
      <w:r>
        <w:rPr>
          <w:rFonts w:ascii="Arial" w:hAnsi="Arial" w:cs="Arial"/>
          <w:lang w:val="nn-NO"/>
        </w:rPr>
        <w:lastRenderedPageBreak/>
        <w:t>2.4 Tilsetjing etter nr. 2.1 eller 2.2 ovanfor kan berre skje dersom det finst heimel for mellombels tilsetjing etter statstilsettelova § 9 (eller § 14 om konstitusjon av embetsmenn).</w:t>
      </w:r>
    </w:p>
    <w:p w14:paraId="3EF2055A" w14:textId="77777777" w:rsidR="00F96445" w:rsidRDefault="00F96445" w:rsidP="00F96445">
      <w:pPr>
        <w:tabs>
          <w:tab w:val="left" w:pos="426"/>
        </w:tabs>
        <w:rPr>
          <w:rFonts w:ascii="Arial" w:hAnsi="Arial" w:cs="Arial"/>
          <w:lang w:val="nn-NO"/>
        </w:rPr>
      </w:pPr>
      <w:r>
        <w:rPr>
          <w:rFonts w:ascii="Arial" w:hAnsi="Arial" w:cs="Arial"/>
          <w:lang w:val="nn-NO"/>
        </w:rPr>
        <w:t>2.5 Tilsetjingar med kortare arbeidstid enn 15 timar per veke er ikkje omfatta av føresegnene om innstilling og tilsetjing i personalreglementet. For desse tilsetjingane gjeld slike reglar: ...</w:t>
      </w:r>
    </w:p>
    <w:p w14:paraId="65C4285B" w14:textId="77777777" w:rsidR="00F96445" w:rsidRDefault="00F96445" w:rsidP="00F96445">
      <w:pPr>
        <w:pStyle w:val="UnOverskrift1"/>
        <w:rPr>
          <w:rFonts w:cs="Arial"/>
          <w:sz w:val="22"/>
          <w:lang w:val="nn-NO"/>
        </w:rPr>
      </w:pPr>
      <w:r>
        <w:rPr>
          <w:rFonts w:cs="Arial"/>
          <w:sz w:val="22"/>
          <w:lang w:val="nn-NO"/>
        </w:rPr>
        <w:t>Del II Utlysing, innstilling og forslag til tilsetjing</w:t>
      </w:r>
    </w:p>
    <w:p w14:paraId="314D2305" w14:textId="77777777" w:rsidR="00F96445" w:rsidRDefault="00F96445" w:rsidP="00F96445">
      <w:pPr>
        <w:pStyle w:val="Overskrift1"/>
        <w:spacing w:before="360" w:after="80" w:line="276" w:lineRule="auto"/>
        <w:ind w:left="432" w:hanging="432"/>
        <w:rPr>
          <w:rFonts w:cs="Arial"/>
          <w:sz w:val="22"/>
          <w:szCs w:val="22"/>
          <w:lang w:val="nn-NO"/>
        </w:rPr>
      </w:pPr>
      <w:r>
        <w:rPr>
          <w:rFonts w:cs="Arial"/>
          <w:sz w:val="22"/>
          <w:szCs w:val="22"/>
          <w:lang w:val="nn-NO"/>
        </w:rPr>
        <w:t xml:space="preserve">Utlysing av stillingar </w:t>
      </w:r>
    </w:p>
    <w:p w14:paraId="7745493C" w14:textId="77777777" w:rsidR="00F96445" w:rsidRDefault="00F96445" w:rsidP="00F96445">
      <w:pPr>
        <w:rPr>
          <w:rFonts w:ascii="Arial" w:hAnsi="Arial" w:cs="Arial"/>
          <w:lang w:val="nn-NO"/>
        </w:rPr>
      </w:pPr>
      <w:r>
        <w:rPr>
          <w:rFonts w:ascii="Arial" w:hAnsi="Arial" w:cs="Arial"/>
          <w:lang w:val="nn-NO"/>
        </w:rPr>
        <w:t>3.1 Ledige (embete og) stillingar skal, med dei unntaka som er nemnde i pkt. 2.1, 2.2 og 3.2, lysast ut offentleg, jf. statstilsettelova § 4 første ledd.</w:t>
      </w:r>
    </w:p>
    <w:p w14:paraId="38177B82" w14:textId="77777777" w:rsidR="00F96445" w:rsidRDefault="00F96445" w:rsidP="00F96445">
      <w:pPr>
        <w:rPr>
          <w:rFonts w:ascii="Arial" w:hAnsi="Arial" w:cs="Arial"/>
          <w:lang w:val="nn-NO"/>
        </w:rPr>
      </w:pPr>
      <w:r>
        <w:rPr>
          <w:rFonts w:ascii="Arial" w:hAnsi="Arial" w:cs="Arial"/>
          <w:lang w:val="nn-NO"/>
        </w:rPr>
        <w:t>For tilsetjingar i inntil eitt år kan ein unnlate å lyse ut den ledige stillinga offentleg.</w:t>
      </w:r>
    </w:p>
    <w:p w14:paraId="77E9F5AD" w14:textId="77777777" w:rsidR="00F96445" w:rsidRDefault="00F96445" w:rsidP="00F96445">
      <w:pPr>
        <w:rPr>
          <w:rFonts w:ascii="Arial" w:hAnsi="Arial" w:cs="Arial"/>
          <w:lang w:val="nn-NO"/>
        </w:rPr>
      </w:pPr>
      <w:r>
        <w:rPr>
          <w:rFonts w:ascii="Arial" w:hAnsi="Arial" w:cs="Arial"/>
          <w:lang w:val="nn-NO"/>
        </w:rPr>
        <w:t>3.3 Stillingar som blir lyste ut offentleg, skal også lysast ut internt. Fråverande tilsette skal få informasjon om ledige stillingar, med mindre dette ikkje er praktisk mogleg. Alle som er tilsette i verksemda, fast eller mellombels, og innleigde arbeidstakarar, kan søkje på stillingar som berre er lyste ut internt. Sjå også arbeidsmiljølova § 14-1.</w:t>
      </w:r>
    </w:p>
    <w:p w14:paraId="6582EAAD" w14:textId="77777777" w:rsidR="00F96445" w:rsidRDefault="00F96445" w:rsidP="00F96445">
      <w:pPr>
        <w:rPr>
          <w:rFonts w:ascii="Arial" w:hAnsi="Arial" w:cs="Arial"/>
          <w:lang w:val="nn-NO"/>
        </w:rPr>
      </w:pPr>
      <w:r>
        <w:rPr>
          <w:rFonts w:ascii="Arial" w:hAnsi="Arial" w:cs="Arial"/>
          <w:lang w:val="nn-NO"/>
        </w:rPr>
        <w:t>3.4 Stillinga som direktør (ev. assisterande direktør eller avdelingsdirektør) blir lyst ut av x-departementet. Dei andre stillingane blir lyste ut av verksemda.</w:t>
      </w:r>
    </w:p>
    <w:p w14:paraId="6A71E05D" w14:textId="77777777" w:rsidR="00F96445" w:rsidRDefault="00F96445" w:rsidP="00F96445">
      <w:pPr>
        <w:pStyle w:val="Overskrift1"/>
        <w:spacing w:before="360" w:after="80" w:line="276" w:lineRule="auto"/>
        <w:ind w:left="432" w:hanging="432"/>
        <w:rPr>
          <w:rFonts w:cs="Arial"/>
          <w:sz w:val="22"/>
          <w:szCs w:val="22"/>
          <w:lang w:val="nn-NO"/>
        </w:rPr>
      </w:pPr>
      <w:r>
        <w:rPr>
          <w:rFonts w:cs="Arial"/>
          <w:sz w:val="22"/>
          <w:szCs w:val="22"/>
          <w:lang w:val="nn-NO"/>
        </w:rPr>
        <w:t>Fråsegn om innstilling, innstilling, forslag til tilsetjing m.m.</w:t>
      </w:r>
    </w:p>
    <w:p w14:paraId="2DB930BE" w14:textId="77777777" w:rsidR="00F96445" w:rsidRDefault="00F96445" w:rsidP="00F96445">
      <w:pPr>
        <w:rPr>
          <w:rFonts w:ascii="Arial" w:hAnsi="Arial" w:cs="Arial"/>
          <w:lang w:val="nn-NO"/>
        </w:rPr>
      </w:pPr>
      <w:r>
        <w:rPr>
          <w:rFonts w:ascii="Arial" w:hAnsi="Arial" w:cs="Arial"/>
          <w:lang w:val="nn-NO"/>
        </w:rPr>
        <w:t>4.1 x-departementet har fastsett at når Kongen i statsråd skal utnemne eller konstituere direktør, skal ekspedisjonssjefen i fagavdelinga (alternativ: departementsråden) først gi fråsegn om innstilling til utnemninga eller konstitusjonen, jf. statstilsettelova § 8.</w:t>
      </w:r>
    </w:p>
    <w:p w14:paraId="348FC483" w14:textId="77777777" w:rsidR="00F96445" w:rsidRDefault="00F96445" w:rsidP="00F96445">
      <w:pPr>
        <w:rPr>
          <w:rFonts w:ascii="Arial" w:hAnsi="Arial" w:cs="Arial"/>
          <w:lang w:val="nn-NO"/>
        </w:rPr>
      </w:pPr>
      <w:r>
        <w:rPr>
          <w:rFonts w:ascii="Arial" w:hAnsi="Arial" w:cs="Arial"/>
          <w:lang w:val="nn-NO"/>
        </w:rPr>
        <w:t>4.2 x-departementet har vidare fastsett at når Kongen i statsråd skal utnemne assisterande direktør, skal direktøren først utarbeide eit forslag til (fast eller mellombels) utnemning, jf. statstilsettelova § 8.</w:t>
      </w:r>
    </w:p>
    <w:p w14:paraId="0A72A71E" w14:textId="77777777" w:rsidR="00F96445" w:rsidRDefault="00F96445" w:rsidP="00F96445">
      <w:pPr>
        <w:rPr>
          <w:rFonts w:ascii="Arial" w:hAnsi="Arial" w:cs="Arial"/>
          <w:lang w:val="nn-NO"/>
        </w:rPr>
      </w:pPr>
      <w:r>
        <w:rPr>
          <w:rFonts w:ascii="Arial" w:hAnsi="Arial" w:cs="Arial"/>
          <w:lang w:val="nn-NO"/>
        </w:rPr>
        <w:t>4.3 For andre tilsette skal den næraste leiaren gi innstilling, jf. statstilsettelova § 5 første ledd. Dersom den næraste leiaren er medlem av tilsetjingsorganet, gir vedkommande i staden forslag til tilsetjing, jf. statstilsettelova § 5 andre ledd.</w:t>
      </w:r>
    </w:p>
    <w:p w14:paraId="6B81CEFC" w14:textId="77777777" w:rsidR="00F96445" w:rsidRDefault="00F96445" w:rsidP="00F96445">
      <w:pPr>
        <w:tabs>
          <w:tab w:val="left" w:pos="426"/>
        </w:tabs>
        <w:spacing w:before="120"/>
        <w:rPr>
          <w:rFonts w:ascii="Arial" w:hAnsi="Arial" w:cs="Arial"/>
          <w:lang w:val="nn-NO"/>
        </w:rPr>
      </w:pPr>
      <w:r>
        <w:rPr>
          <w:rFonts w:ascii="Arial" w:hAnsi="Arial" w:cs="Arial"/>
          <w:lang w:val="nn-NO"/>
        </w:rPr>
        <w:t>4.4 Dersom det er fleire kvalifiserte søkjarar til ei stilling, skal ein vanlegvis innstille eller føreslå tre søkjarar i den rekkjefølgja ein bør vurdere dei i, jf. statstilsettelova § 5 tredje ledd.</w:t>
      </w:r>
    </w:p>
    <w:p w14:paraId="6DEE9660" w14:textId="77777777" w:rsidR="00F96445" w:rsidRDefault="00F96445" w:rsidP="00F96445">
      <w:pPr>
        <w:pStyle w:val="Overskrift1"/>
        <w:spacing w:before="360" w:after="80" w:line="276" w:lineRule="auto"/>
        <w:ind w:left="432" w:hanging="432"/>
        <w:rPr>
          <w:rFonts w:cs="Arial"/>
          <w:sz w:val="22"/>
          <w:szCs w:val="22"/>
          <w:lang w:val="nn-NO"/>
        </w:rPr>
      </w:pPr>
      <w:r>
        <w:rPr>
          <w:rFonts w:cs="Arial"/>
          <w:sz w:val="22"/>
          <w:szCs w:val="22"/>
          <w:lang w:val="nn-NO"/>
        </w:rPr>
        <w:t>Innsynsrett</w:t>
      </w:r>
    </w:p>
    <w:p w14:paraId="750BD263" w14:textId="77777777" w:rsidR="00F96445" w:rsidRDefault="00F96445" w:rsidP="00F96445">
      <w:pPr>
        <w:rPr>
          <w:rFonts w:ascii="Arial" w:hAnsi="Arial" w:cs="Arial"/>
          <w:lang w:val="nn-NO"/>
        </w:rPr>
      </w:pPr>
      <w:r>
        <w:rPr>
          <w:rFonts w:ascii="Arial" w:hAnsi="Arial" w:cs="Arial"/>
          <w:lang w:val="nn-NO"/>
        </w:rPr>
        <w:t>Innsynsretten til søkjarane (partane) i ei formell innstilling er regulert av forvaltningslovforskrifta. Søkjarane skal ha den same innsynsretten i eit forslag til tilsetjing.</w:t>
      </w:r>
    </w:p>
    <w:p w14:paraId="6193275C" w14:textId="77777777" w:rsidR="00F96445" w:rsidRDefault="00F96445" w:rsidP="00F96445">
      <w:pPr>
        <w:pStyle w:val="UnOverskrift1"/>
        <w:rPr>
          <w:rFonts w:cs="Arial"/>
          <w:sz w:val="22"/>
          <w:lang w:val="nn-NO"/>
        </w:rPr>
      </w:pPr>
      <w:r>
        <w:rPr>
          <w:rFonts w:cs="Arial"/>
          <w:sz w:val="22"/>
          <w:lang w:val="nn-NO"/>
        </w:rPr>
        <w:t>Del III Tilsetjing</w:t>
      </w:r>
    </w:p>
    <w:p w14:paraId="6559D6F3" w14:textId="77777777" w:rsidR="00F96445" w:rsidRDefault="00F96445" w:rsidP="00F96445">
      <w:pPr>
        <w:pStyle w:val="Overskrift1"/>
        <w:spacing w:before="360" w:after="80" w:line="276" w:lineRule="auto"/>
        <w:ind w:left="432" w:hanging="432"/>
        <w:rPr>
          <w:rFonts w:cs="Arial"/>
          <w:sz w:val="22"/>
          <w:szCs w:val="22"/>
          <w:lang w:val="nn-NO"/>
        </w:rPr>
      </w:pPr>
      <w:r>
        <w:rPr>
          <w:rFonts w:cs="Arial"/>
          <w:sz w:val="22"/>
          <w:szCs w:val="22"/>
          <w:lang w:val="nn-NO"/>
        </w:rPr>
        <w:t>Tilsetjingsorgan</w:t>
      </w:r>
    </w:p>
    <w:p w14:paraId="42982303" w14:textId="77777777" w:rsidR="00F96445" w:rsidRDefault="00F96445" w:rsidP="00F96445">
      <w:pPr>
        <w:tabs>
          <w:tab w:val="left" w:pos="426"/>
        </w:tabs>
        <w:spacing w:before="120"/>
        <w:rPr>
          <w:rFonts w:ascii="Arial" w:hAnsi="Arial" w:cs="Arial"/>
          <w:lang w:val="nn-NO"/>
        </w:rPr>
      </w:pPr>
      <w:r>
        <w:rPr>
          <w:rFonts w:ascii="Arial" w:hAnsi="Arial" w:cs="Arial"/>
          <w:lang w:val="nn-NO"/>
        </w:rPr>
        <w:t>6.1 Statstilsette som ikkje blir utnemnde av Kongen i statsråd, eller som ikkje blir tilsette av x-departementet, jf. punkt 1 nr. 1.1 i reglementet, blir tilsette av eit tilsetjingsråd (alternativ: styret), med unntak av dei kortvarige tilsetjingane som er omtalte i punkt 2 i reglementet.</w:t>
      </w:r>
    </w:p>
    <w:p w14:paraId="6183F1CB" w14:textId="77777777" w:rsidR="00F96445" w:rsidRDefault="00F96445" w:rsidP="00F96445">
      <w:pPr>
        <w:tabs>
          <w:tab w:val="left" w:pos="426"/>
        </w:tabs>
        <w:spacing w:before="120"/>
        <w:rPr>
          <w:rFonts w:ascii="Arial" w:hAnsi="Arial" w:cs="Arial"/>
          <w:lang w:val="nn-NO"/>
        </w:rPr>
      </w:pPr>
      <w:r>
        <w:rPr>
          <w:rFonts w:ascii="Arial" w:hAnsi="Arial" w:cs="Arial"/>
          <w:lang w:val="nn-NO"/>
        </w:rPr>
        <w:t>6.2. x-departementet har bestemt at det skal vere eitt tilsetjingsråd for tilsetjing av (y-stillingar) og eitt tilsetjingsråd for tilsetjing av (z-stillingar), jf. statstilsettelova § 6.</w:t>
      </w:r>
    </w:p>
    <w:p w14:paraId="1DDFF26F" w14:textId="77777777" w:rsidR="00F96445" w:rsidRDefault="00F96445" w:rsidP="00F96445">
      <w:pPr>
        <w:tabs>
          <w:tab w:val="left" w:pos="426"/>
        </w:tabs>
        <w:spacing w:before="120"/>
        <w:rPr>
          <w:rFonts w:ascii="Arial" w:hAnsi="Arial" w:cs="Arial"/>
          <w:lang w:val="nn-NO"/>
        </w:rPr>
      </w:pPr>
      <w:r>
        <w:rPr>
          <w:rFonts w:ascii="Arial" w:hAnsi="Arial" w:cs="Arial"/>
          <w:lang w:val="nn-NO"/>
        </w:rPr>
        <w:lastRenderedPageBreak/>
        <w:t>6.3 Tilsetjingsrådet for (y-stillingar) skal omfatte direktøren (leiaren av rådet), avdelingsdirektøren i den aktuelle avdelinga, personalleiaren og to representantar for dei tilsette, jf. statstilsettelova § 6 andre ledd.</w:t>
      </w:r>
    </w:p>
    <w:p w14:paraId="33643F34" w14:textId="77777777" w:rsidR="00F96445" w:rsidRDefault="00F96445" w:rsidP="00F96445">
      <w:pPr>
        <w:tabs>
          <w:tab w:val="left" w:pos="426"/>
        </w:tabs>
        <w:spacing w:before="120"/>
        <w:rPr>
          <w:rFonts w:ascii="Arial" w:hAnsi="Arial" w:cs="Arial"/>
          <w:lang w:val="nn-NO"/>
        </w:rPr>
      </w:pPr>
      <w:r>
        <w:rPr>
          <w:rFonts w:ascii="Arial" w:hAnsi="Arial" w:cs="Arial"/>
          <w:lang w:val="nn-NO"/>
        </w:rPr>
        <w:t>6.4 Tilsetjingsrådet for (z-stillingar) skal omfatte den assisterande direktøren (leiaren av rådet), avdelingsdirektøren i den aktuelle avdelinga, personalleiaren og to representantar for dei tilsette, jf. statstilsettelova § 6 andre ledd.</w:t>
      </w:r>
    </w:p>
    <w:p w14:paraId="27D96E2E" w14:textId="77777777" w:rsidR="00F96445" w:rsidRDefault="00F96445" w:rsidP="00F96445">
      <w:pPr>
        <w:tabs>
          <w:tab w:val="left" w:pos="426"/>
        </w:tabs>
        <w:spacing w:before="120"/>
        <w:rPr>
          <w:rFonts w:ascii="Arial" w:hAnsi="Arial" w:cs="Arial"/>
          <w:lang w:val="nn-NO"/>
        </w:rPr>
      </w:pPr>
      <w:r>
        <w:rPr>
          <w:rFonts w:ascii="Arial" w:hAnsi="Arial" w:cs="Arial"/>
          <w:lang w:val="nn-NO"/>
        </w:rPr>
        <w:t>6.5 Dei som kan fungere i staden for representantane i administrasjonen, er dei personane som vanlegvis trer inn i stillingane deira når dei er utilgjengelege.</w:t>
      </w:r>
    </w:p>
    <w:p w14:paraId="5B64AEB4" w14:textId="77777777" w:rsidR="00F96445" w:rsidRDefault="00F96445" w:rsidP="00F96445">
      <w:pPr>
        <w:pStyle w:val="Overskrift1"/>
        <w:spacing w:before="360" w:after="80" w:line="276" w:lineRule="auto"/>
        <w:ind w:left="432" w:hanging="432"/>
        <w:rPr>
          <w:rFonts w:cs="Arial"/>
          <w:sz w:val="22"/>
          <w:szCs w:val="22"/>
          <w:lang w:val="nn-NO"/>
        </w:rPr>
      </w:pPr>
      <w:r>
        <w:rPr>
          <w:rFonts w:cs="Arial"/>
          <w:sz w:val="22"/>
          <w:szCs w:val="22"/>
          <w:lang w:val="nn-NO"/>
        </w:rPr>
        <w:t>Oppnemning av representantar for dei tilsette</w:t>
      </w:r>
    </w:p>
    <w:p w14:paraId="408F20FB" w14:textId="77777777" w:rsidR="00F96445" w:rsidRDefault="00F96445" w:rsidP="00F96445">
      <w:pPr>
        <w:tabs>
          <w:tab w:val="left" w:pos="426"/>
        </w:tabs>
        <w:spacing w:before="120"/>
        <w:rPr>
          <w:rFonts w:ascii="Arial" w:hAnsi="Arial" w:cs="Arial"/>
          <w:lang w:val="nn-NO"/>
        </w:rPr>
      </w:pPr>
      <w:r>
        <w:rPr>
          <w:rFonts w:ascii="Arial" w:hAnsi="Arial" w:cs="Arial"/>
          <w:lang w:val="nn-NO"/>
        </w:rPr>
        <w:t>7.1 Representantane for dei tilsette skal høyre til den same gruppa av tilsette som den ledige stillinga, jf. punkt 6.2 i reglementet.</w:t>
      </w:r>
    </w:p>
    <w:p w14:paraId="4DF1251C" w14:textId="77777777" w:rsidR="00F96445" w:rsidRDefault="00F96445" w:rsidP="00F96445">
      <w:pPr>
        <w:tabs>
          <w:tab w:val="left" w:pos="426"/>
        </w:tabs>
        <w:spacing w:before="120"/>
        <w:rPr>
          <w:rFonts w:ascii="Arial" w:hAnsi="Arial" w:cs="Arial"/>
          <w:lang w:val="nn-NO"/>
        </w:rPr>
      </w:pPr>
      <w:r>
        <w:rPr>
          <w:rFonts w:ascii="Arial" w:hAnsi="Arial" w:cs="Arial"/>
          <w:lang w:val="nn-NO"/>
        </w:rPr>
        <w:t>7.2 Den tenestemannsorganisasjonen som organiserer tilsette i den aktuelle gruppa, og som anten sjølv eller gjennom tilslutning til ei hovudsamanslutning har forhandlingsrett, oppnemner representantar for dei tilsette med personlege vararepresentantar. Er det fleire organisasjonar med forhandlingsrett som har medlemmer i den aktuelle gruppa av tilsette, oppnemner organisasjonane i fellesskap representantane med vararepresentantar. Representantane for dei tilsette representerer ikkje sin eigen organisasjon når dei først er oppnemnde, men skal ta hand om interessene til alle søkjarane.</w:t>
      </w:r>
    </w:p>
    <w:p w14:paraId="37297A8A" w14:textId="77777777" w:rsidR="00F96445" w:rsidRDefault="00F96445" w:rsidP="00F96445">
      <w:pPr>
        <w:tabs>
          <w:tab w:val="left" w:pos="426"/>
        </w:tabs>
        <w:spacing w:before="120"/>
        <w:rPr>
          <w:rFonts w:ascii="Arial" w:hAnsi="Arial" w:cs="Arial"/>
          <w:lang w:val="nn-NO"/>
        </w:rPr>
      </w:pPr>
      <w:r>
        <w:rPr>
          <w:rFonts w:ascii="Arial" w:hAnsi="Arial" w:cs="Arial"/>
          <w:lang w:val="nn-NO"/>
        </w:rPr>
        <w:t xml:space="preserve">7.3 Representantane for dei tilsette bør bli oppnemnde for ein periode på to år om gongen. Funksjonstida skal setjast slik at ho ikkje går ut samtidig for begge representantane i same gruppe av tilsette. Kan organisasjonane ikkje bli einige om kven som skal oppnemnast, skal ein </w:t>
      </w:r>
      <w:proofErr w:type="spellStart"/>
      <w:r>
        <w:rPr>
          <w:rFonts w:ascii="Arial" w:hAnsi="Arial" w:cs="Arial"/>
          <w:lang w:val="nn-NO"/>
        </w:rPr>
        <w:t>oppnemne</w:t>
      </w:r>
      <w:proofErr w:type="spellEnd"/>
      <w:r>
        <w:rPr>
          <w:rFonts w:ascii="Arial" w:hAnsi="Arial" w:cs="Arial"/>
          <w:lang w:val="nn-NO"/>
        </w:rPr>
        <w:t xml:space="preserve"> to representantar for dei tilsette med vararepresentantar etter slike reglar:</w:t>
      </w:r>
    </w:p>
    <w:p w14:paraId="4D4ED207" w14:textId="77777777" w:rsidR="00F96445" w:rsidRDefault="00F96445" w:rsidP="00F96445">
      <w:pPr>
        <w:pStyle w:val="alfaliste2"/>
        <w:numPr>
          <w:ilvl w:val="1"/>
          <w:numId w:val="5"/>
        </w:numPr>
        <w:rPr>
          <w:rFonts w:cs="Arial"/>
          <w:lang w:val="nn-NO"/>
        </w:rPr>
      </w:pPr>
      <w:r>
        <w:rPr>
          <w:rFonts w:cs="Arial"/>
          <w:lang w:val="nn-NO"/>
        </w:rPr>
        <w:t>For at ein organisasjon skal kunne peike ut representantar etter reglane nedanfor, må han ha minst 25 prosent av dei organiserte tilsette i gruppa som medlemmer.</w:t>
      </w:r>
    </w:p>
    <w:p w14:paraId="63DC44D6" w14:textId="77777777" w:rsidR="00F96445" w:rsidRDefault="00F96445" w:rsidP="00F96445">
      <w:pPr>
        <w:pStyle w:val="alfaliste2"/>
        <w:numPr>
          <w:ilvl w:val="1"/>
          <w:numId w:val="2"/>
        </w:numPr>
        <w:rPr>
          <w:rFonts w:cs="Arial"/>
          <w:lang w:val="nn-NO"/>
        </w:rPr>
      </w:pPr>
      <w:r>
        <w:rPr>
          <w:rFonts w:cs="Arial"/>
          <w:lang w:val="nn-NO"/>
        </w:rPr>
        <w:t>Primærorganisasjonane under same hovudsamanslutning kan slå saman medlemstalet etter reglane i denne paragrafen.</w:t>
      </w:r>
    </w:p>
    <w:p w14:paraId="1449ADF8" w14:textId="77777777" w:rsidR="00F96445" w:rsidRDefault="00F96445" w:rsidP="00F96445">
      <w:pPr>
        <w:pStyle w:val="alfaliste2"/>
        <w:numPr>
          <w:ilvl w:val="1"/>
          <w:numId w:val="2"/>
        </w:numPr>
        <w:rPr>
          <w:rFonts w:cs="Arial"/>
          <w:lang w:val="nn-NO"/>
        </w:rPr>
      </w:pPr>
      <w:r>
        <w:rPr>
          <w:rFonts w:cs="Arial"/>
          <w:lang w:val="nn-NO"/>
        </w:rPr>
        <w:t xml:space="preserve">Dersom to eller fleire tenestemannsorganisasjonar organiserer tilsette i den aktuelle gruppa av tilsette, skal dei to organisasjonane som har størst medlemstal innanfor gruppa, </w:t>
      </w:r>
      <w:proofErr w:type="spellStart"/>
      <w:r>
        <w:rPr>
          <w:rFonts w:cs="Arial"/>
          <w:lang w:val="nn-NO"/>
        </w:rPr>
        <w:t>oppnemne</w:t>
      </w:r>
      <w:proofErr w:type="spellEnd"/>
      <w:r>
        <w:rPr>
          <w:rFonts w:cs="Arial"/>
          <w:lang w:val="nn-NO"/>
        </w:rPr>
        <w:t xml:space="preserve"> kvar sin representant med vararepresentant.</w:t>
      </w:r>
    </w:p>
    <w:p w14:paraId="69A3CFF8" w14:textId="77777777" w:rsidR="00F96445" w:rsidRDefault="00F96445" w:rsidP="00F96445">
      <w:pPr>
        <w:tabs>
          <w:tab w:val="left" w:pos="426"/>
        </w:tabs>
        <w:spacing w:before="120"/>
        <w:rPr>
          <w:rFonts w:ascii="Arial" w:hAnsi="Arial" w:cs="Arial"/>
          <w:lang w:val="nn-NO"/>
        </w:rPr>
      </w:pPr>
    </w:p>
    <w:p w14:paraId="4C6E44DE" w14:textId="77777777" w:rsidR="00F96445" w:rsidRDefault="00F96445" w:rsidP="00F96445">
      <w:pPr>
        <w:pStyle w:val="Overskrift1"/>
        <w:spacing w:before="360" w:after="80" w:line="276" w:lineRule="auto"/>
        <w:ind w:left="432" w:hanging="432"/>
        <w:rPr>
          <w:rFonts w:cs="Arial"/>
          <w:sz w:val="22"/>
          <w:szCs w:val="22"/>
          <w:lang w:val="nn-NO"/>
        </w:rPr>
      </w:pPr>
      <w:r>
        <w:rPr>
          <w:rFonts w:cs="Arial"/>
          <w:sz w:val="22"/>
          <w:szCs w:val="22"/>
          <w:lang w:val="nn-NO"/>
        </w:rPr>
        <w:t>Saksbehandlinga i tilsetjingsrådet</w:t>
      </w:r>
    </w:p>
    <w:p w14:paraId="3D54E871" w14:textId="77777777" w:rsidR="00F96445" w:rsidRDefault="00F96445" w:rsidP="00F96445">
      <w:pPr>
        <w:tabs>
          <w:tab w:val="left" w:pos="426"/>
        </w:tabs>
        <w:spacing w:before="120"/>
        <w:rPr>
          <w:rFonts w:ascii="Arial" w:hAnsi="Arial" w:cs="Arial"/>
          <w:lang w:val="nn-NO"/>
        </w:rPr>
      </w:pPr>
      <w:r>
        <w:rPr>
          <w:rFonts w:ascii="Arial" w:hAnsi="Arial" w:cs="Arial"/>
          <w:lang w:val="nn-NO"/>
        </w:rPr>
        <w:t>8.1 Innstillinga/forslaget til tilsetjing skal først til sendast til personalleiaren, deretter til dei andre medlemmene av administrasjonen, så til representantane for dei tilsette og til slutt til leiaren av rådet.</w:t>
      </w:r>
    </w:p>
    <w:p w14:paraId="7D661130" w14:textId="77777777" w:rsidR="00F96445" w:rsidRDefault="00F96445" w:rsidP="00F96445">
      <w:pPr>
        <w:tabs>
          <w:tab w:val="left" w:pos="426"/>
        </w:tabs>
        <w:spacing w:before="120"/>
        <w:rPr>
          <w:rFonts w:ascii="Arial" w:hAnsi="Arial" w:cs="Arial"/>
          <w:lang w:val="nn-NO"/>
        </w:rPr>
      </w:pPr>
      <w:r>
        <w:rPr>
          <w:rFonts w:ascii="Arial" w:hAnsi="Arial" w:cs="Arial"/>
          <w:lang w:val="nn-NO"/>
        </w:rPr>
        <w:t>8.2 I statsforvaltninga gjeld det generelt at deltaking i innstillings- og tilsetjingsråd er ei tenesteplikt. Medlemmene i rådet kan ikkje hindre vedtak ved å ikkje møte opp til behandling eller nekte å skrive under på møteprotokollen. Dersom likevel enkelte av medlemmene i rådet ikkje deltek i behandlinga av ei sak eller ikkje skriv under på møteprotokollen, er rådet vedtaksdyktig dersom minst halvparten av medlemmene deltek og skriv under.</w:t>
      </w:r>
    </w:p>
    <w:p w14:paraId="4FAE4BFB" w14:textId="77777777" w:rsidR="00F96445" w:rsidRDefault="00F96445" w:rsidP="00F96445">
      <w:pPr>
        <w:tabs>
          <w:tab w:val="left" w:pos="426"/>
        </w:tabs>
        <w:spacing w:before="120"/>
        <w:rPr>
          <w:rFonts w:ascii="Arial" w:hAnsi="Arial" w:cs="Arial"/>
          <w:lang w:val="nn-NO"/>
        </w:rPr>
      </w:pPr>
      <w:r>
        <w:rPr>
          <w:rFonts w:ascii="Arial" w:hAnsi="Arial" w:cs="Arial"/>
          <w:lang w:val="nn-NO"/>
        </w:rPr>
        <w:t>8.3 Det endelege tilsetjingsvedtaket blir teke inn i ein protokoll som skal underskrivast av alle, alternativt ved elektronisk saksbehandling. Saka blir avgjord ved alminneleg fleirtalsvedtak.</w:t>
      </w:r>
    </w:p>
    <w:p w14:paraId="6CA5CB99" w14:textId="77777777" w:rsidR="00F96445" w:rsidRDefault="00F96445" w:rsidP="00F96445">
      <w:pPr>
        <w:tabs>
          <w:tab w:val="left" w:pos="426"/>
        </w:tabs>
        <w:spacing w:before="120"/>
        <w:rPr>
          <w:rFonts w:ascii="Arial" w:hAnsi="Arial" w:cs="Arial"/>
          <w:lang w:val="nn-NO"/>
        </w:rPr>
      </w:pPr>
      <w:r>
        <w:rPr>
          <w:rFonts w:ascii="Arial" w:hAnsi="Arial" w:cs="Arial"/>
          <w:lang w:val="nn-NO"/>
        </w:rPr>
        <w:lastRenderedPageBreak/>
        <w:t>8.4 Dersom ein medlem av eit tilsetjingsråd eller eit styre ønskjer å tilsetje ein søkjar som ikkje er innstilt, skal rådet hente inn ei skriftleg vurdering av søkjaren frå den som gir innstillinga, jf. statstilsettelova § 6 tredje ledd. Dette gjeld ikkje ved forslag til tilsetjing.</w:t>
      </w:r>
    </w:p>
    <w:p w14:paraId="2F80B09B" w14:textId="77777777" w:rsidR="00F96445" w:rsidRDefault="00F96445" w:rsidP="00F96445">
      <w:pPr>
        <w:pStyle w:val="Overskrift1"/>
        <w:spacing w:before="360" w:after="80" w:line="276" w:lineRule="auto"/>
        <w:ind w:left="432" w:hanging="432"/>
        <w:rPr>
          <w:rFonts w:cs="Arial"/>
          <w:sz w:val="22"/>
          <w:szCs w:val="22"/>
          <w:lang w:val="nn-NO"/>
        </w:rPr>
      </w:pPr>
      <w:r>
        <w:rPr>
          <w:rFonts w:cs="Arial"/>
          <w:sz w:val="22"/>
          <w:szCs w:val="22"/>
          <w:lang w:val="nn-NO"/>
        </w:rPr>
        <w:t>Nærare reglar om tilsetjing</w:t>
      </w:r>
    </w:p>
    <w:p w14:paraId="7704063E" w14:textId="77777777" w:rsidR="00F96445" w:rsidRDefault="00F96445" w:rsidP="00F96445">
      <w:pPr>
        <w:tabs>
          <w:tab w:val="left" w:pos="426"/>
        </w:tabs>
        <w:spacing w:before="120"/>
        <w:rPr>
          <w:rFonts w:ascii="Arial" w:hAnsi="Arial" w:cs="Arial"/>
          <w:lang w:val="nn-NO"/>
        </w:rPr>
      </w:pPr>
      <w:r>
        <w:rPr>
          <w:rFonts w:ascii="Arial" w:hAnsi="Arial" w:cs="Arial"/>
          <w:lang w:val="nn-NO"/>
        </w:rPr>
        <w:t>9.1 Ved utnemning eller konstitusjon av ein embetsmann skal embetsmannen haldast skriftleg informert med opplysning om eventuelle særvilkår. (Utelat dette dersom det ikkje er embetsmenn i verksemda.)</w:t>
      </w:r>
    </w:p>
    <w:p w14:paraId="707073DA" w14:textId="77777777" w:rsidR="00F96445" w:rsidRDefault="00F96445" w:rsidP="00F96445">
      <w:pPr>
        <w:tabs>
          <w:tab w:val="left" w:pos="426"/>
        </w:tabs>
        <w:spacing w:before="120"/>
        <w:rPr>
          <w:rFonts w:ascii="Arial" w:hAnsi="Arial" w:cs="Arial"/>
          <w:lang w:val="nn-NO"/>
        </w:rPr>
      </w:pPr>
      <w:r>
        <w:rPr>
          <w:rFonts w:ascii="Arial" w:hAnsi="Arial" w:cs="Arial"/>
          <w:lang w:val="nn-NO"/>
        </w:rPr>
        <w:t>9.2 Nærare reglar om tilsette som har plikt til å gå gjennom ei bestemt opplæring, jf. statstilsettelova § 15 sjette ledd.</w:t>
      </w:r>
    </w:p>
    <w:p w14:paraId="251971CD" w14:textId="77777777" w:rsidR="00F96445" w:rsidRDefault="00F96445" w:rsidP="00F96445">
      <w:pPr>
        <w:pStyle w:val="UnOverskrift1"/>
        <w:rPr>
          <w:rFonts w:cs="Arial"/>
          <w:sz w:val="22"/>
          <w:lang w:val="nn-NO"/>
        </w:rPr>
      </w:pPr>
      <w:r>
        <w:rPr>
          <w:rFonts w:cs="Arial"/>
          <w:sz w:val="22"/>
          <w:lang w:val="nn-NO"/>
        </w:rPr>
        <w:t>Del IV Andre føresegner</w:t>
      </w:r>
    </w:p>
    <w:p w14:paraId="5C2F85D6" w14:textId="77777777" w:rsidR="00F96445" w:rsidRDefault="00F96445" w:rsidP="00F96445">
      <w:pPr>
        <w:pStyle w:val="Overskrift1"/>
        <w:spacing w:before="360" w:after="80" w:line="276" w:lineRule="auto"/>
        <w:ind w:left="432" w:hanging="432"/>
        <w:rPr>
          <w:rFonts w:cs="Arial"/>
          <w:sz w:val="22"/>
          <w:szCs w:val="22"/>
          <w:lang w:val="nn-NO"/>
        </w:rPr>
      </w:pPr>
      <w:r>
        <w:rPr>
          <w:rFonts w:cs="Arial"/>
          <w:sz w:val="22"/>
          <w:szCs w:val="22"/>
          <w:lang w:val="nn-NO"/>
        </w:rPr>
        <w:t>Klageorgan</w:t>
      </w:r>
    </w:p>
    <w:p w14:paraId="262E3DB5" w14:textId="77777777" w:rsidR="00F96445" w:rsidRDefault="00F96445" w:rsidP="00F96445">
      <w:pPr>
        <w:tabs>
          <w:tab w:val="left" w:pos="426"/>
        </w:tabs>
        <w:spacing w:before="120"/>
        <w:rPr>
          <w:rFonts w:ascii="Arial" w:hAnsi="Arial" w:cs="Arial"/>
          <w:lang w:val="nn-NO"/>
        </w:rPr>
      </w:pPr>
      <w:r>
        <w:rPr>
          <w:rFonts w:ascii="Arial" w:hAnsi="Arial" w:cs="Arial"/>
          <w:lang w:val="nn-NO"/>
        </w:rPr>
        <w:t>Dersom ein statstilsett i medhald av forvaltningslova klagar over eit vedtak om oppseiing, ordensstraff, suspensjon eller avskil, er klageinstansen departementet.</w:t>
      </w:r>
    </w:p>
    <w:p w14:paraId="57020FDC" w14:textId="77777777" w:rsidR="00F96445" w:rsidRDefault="00F96445" w:rsidP="00F96445">
      <w:pPr>
        <w:tabs>
          <w:tab w:val="left" w:pos="426"/>
        </w:tabs>
        <w:spacing w:before="120"/>
        <w:rPr>
          <w:rFonts w:ascii="Arial" w:hAnsi="Arial" w:cs="Arial"/>
          <w:lang w:val="nn-NO"/>
        </w:rPr>
      </w:pPr>
      <w:r>
        <w:rPr>
          <w:rFonts w:ascii="Arial" w:hAnsi="Arial" w:cs="Arial"/>
          <w:lang w:val="nn-NO"/>
        </w:rPr>
        <w:t>Alternativ: ei anna overordna verksemd eller eit styre for verksemda.</w:t>
      </w:r>
    </w:p>
    <w:p w14:paraId="0527533A" w14:textId="77777777" w:rsidR="00F96445" w:rsidRDefault="00F96445" w:rsidP="00F96445">
      <w:pPr>
        <w:pStyle w:val="Overskrift1"/>
        <w:spacing w:before="360" w:after="80" w:line="276" w:lineRule="auto"/>
        <w:ind w:left="432" w:hanging="432"/>
        <w:rPr>
          <w:rFonts w:cs="Arial"/>
          <w:sz w:val="22"/>
          <w:szCs w:val="22"/>
          <w:lang w:val="nn-NO"/>
        </w:rPr>
      </w:pPr>
      <w:r>
        <w:rPr>
          <w:rFonts w:cs="Arial"/>
          <w:sz w:val="22"/>
          <w:szCs w:val="22"/>
          <w:lang w:val="nn-NO"/>
        </w:rPr>
        <w:t>Forbod mot gåver i tenesta</w:t>
      </w:r>
    </w:p>
    <w:p w14:paraId="50B0858D" w14:textId="77777777" w:rsidR="00F96445" w:rsidRDefault="00F96445" w:rsidP="00F96445">
      <w:pPr>
        <w:tabs>
          <w:tab w:val="left" w:pos="426"/>
        </w:tabs>
        <w:spacing w:before="120"/>
        <w:rPr>
          <w:rFonts w:ascii="Arial" w:hAnsi="Arial" w:cs="Arial"/>
          <w:lang w:val="nn-NO"/>
        </w:rPr>
      </w:pPr>
      <w:r>
        <w:rPr>
          <w:rFonts w:ascii="Arial" w:hAnsi="Arial" w:cs="Arial"/>
          <w:lang w:val="nn-NO"/>
        </w:rPr>
        <w:t>Nærare reglar om føresegner om forbod mot gåver i tenesta, jf. statstilsettelova § 39.</w:t>
      </w:r>
    </w:p>
    <w:p w14:paraId="1F0055E1" w14:textId="77777777" w:rsidR="00F96445" w:rsidRDefault="00F96445" w:rsidP="00F96445">
      <w:pPr>
        <w:pStyle w:val="Overskrift1"/>
        <w:spacing w:before="360" w:after="80" w:line="276" w:lineRule="auto"/>
        <w:ind w:left="432" w:hanging="432"/>
        <w:rPr>
          <w:rFonts w:cs="Arial"/>
          <w:sz w:val="22"/>
          <w:szCs w:val="22"/>
          <w:lang w:val="nn-NO"/>
        </w:rPr>
      </w:pPr>
      <w:r>
        <w:rPr>
          <w:rFonts w:cs="Arial"/>
          <w:sz w:val="22"/>
          <w:szCs w:val="22"/>
          <w:lang w:val="nn-NO"/>
        </w:rPr>
        <w:t>Ikraftsetjing og revisjon</w:t>
      </w:r>
    </w:p>
    <w:p w14:paraId="6AEB628A" w14:textId="77777777" w:rsidR="00F96445" w:rsidRDefault="00F96445" w:rsidP="00F96445">
      <w:pPr>
        <w:tabs>
          <w:tab w:val="left" w:pos="426"/>
        </w:tabs>
        <w:spacing w:before="120"/>
        <w:rPr>
          <w:rFonts w:ascii="Arial" w:hAnsi="Arial" w:cs="Arial"/>
          <w:lang w:val="nn-NO"/>
        </w:rPr>
      </w:pPr>
      <w:r>
        <w:rPr>
          <w:rFonts w:ascii="Arial" w:hAnsi="Arial" w:cs="Arial"/>
          <w:lang w:val="nn-NO"/>
        </w:rPr>
        <w:t>12.1 Dette personalreglementet er forhandla fram mellom leiinga i verksemda og dei tenestemannsorganisasjonane i verksemda som har forhandlingsrett etter tenestetvistlova. Personalreglementet omfattar dei forholda som er fastsette som forhandlingsgjenstand i statstilsettelova, og er i samsvar med krava i § 2 fjerde ledd i lova.</w:t>
      </w:r>
    </w:p>
    <w:p w14:paraId="6330451D" w14:textId="77777777" w:rsidR="00F96445" w:rsidRDefault="00F96445" w:rsidP="00F96445">
      <w:pPr>
        <w:tabs>
          <w:tab w:val="left" w:pos="426"/>
        </w:tabs>
        <w:spacing w:before="120"/>
        <w:rPr>
          <w:rFonts w:ascii="Arial" w:hAnsi="Arial" w:cs="Arial"/>
          <w:lang w:val="nn-NO"/>
        </w:rPr>
      </w:pPr>
      <w:r>
        <w:rPr>
          <w:rFonts w:ascii="Arial" w:hAnsi="Arial" w:cs="Arial"/>
          <w:lang w:val="nn-NO"/>
        </w:rPr>
        <w:t>12.2 X-departementet har, før det blei inngått avtale, gjort vedtak om kva for statstilsette som skal tilsetjast av departementet eller utnemnast av Kongen i statsråd. I tillegg er det avklart om stillingane i verksemda er embete, og i så fall kva for nokre som er det.</w:t>
      </w:r>
    </w:p>
    <w:p w14:paraId="4DD84279" w14:textId="77777777" w:rsidR="00F96445" w:rsidRDefault="00F96445" w:rsidP="00F96445">
      <w:pPr>
        <w:tabs>
          <w:tab w:val="left" w:pos="426"/>
        </w:tabs>
        <w:spacing w:before="120"/>
        <w:rPr>
          <w:rFonts w:ascii="Arial" w:hAnsi="Arial" w:cs="Arial"/>
          <w:lang w:val="nn-NO"/>
        </w:rPr>
      </w:pPr>
      <w:r>
        <w:rPr>
          <w:rFonts w:ascii="Arial" w:hAnsi="Arial" w:cs="Arial"/>
          <w:lang w:val="nn-NO"/>
        </w:rPr>
        <w:t>12.3 Personalreglementet blir sett i kraft ... i samsvar med det partane er einige om, jf. § 2 første ledd i statstilsettelova og § 19 nr. 2 bokstav d i hovudavtalen.</w:t>
      </w:r>
    </w:p>
    <w:p w14:paraId="7C7B0D18" w14:textId="77777777" w:rsidR="00F96445" w:rsidRDefault="00F96445" w:rsidP="00F96445">
      <w:pPr>
        <w:tabs>
          <w:tab w:val="left" w:pos="426"/>
        </w:tabs>
        <w:spacing w:before="120"/>
        <w:rPr>
          <w:rFonts w:ascii="Arial" w:hAnsi="Arial" w:cs="Arial"/>
          <w:lang w:val="nn-NO"/>
        </w:rPr>
      </w:pPr>
      <w:r>
        <w:rPr>
          <w:rFonts w:ascii="Arial" w:hAnsi="Arial" w:cs="Arial"/>
          <w:lang w:val="nn-NO"/>
        </w:rPr>
        <w:t>12.4 Kvar av partane i verksemda og x-departementet kan når som helst krevje at personalreglementet blir teke opp til revisjon, jf. statstilsettelova § 2 femte ledd.</w:t>
      </w:r>
    </w:p>
    <w:p w14:paraId="7AAFC7E5" w14:textId="77777777" w:rsidR="00F96445" w:rsidRPr="00F96445" w:rsidRDefault="00F96445">
      <w:pPr>
        <w:rPr>
          <w:lang w:val="nn-NO"/>
        </w:rPr>
      </w:pPr>
    </w:p>
    <w:sectPr w:rsidR="00F96445" w:rsidRPr="00F9644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319F5" w14:textId="77777777" w:rsidR="001F5EC6" w:rsidRDefault="001F5EC6" w:rsidP="00F96445">
      <w:pPr>
        <w:spacing w:after="0" w:line="240" w:lineRule="auto"/>
      </w:pPr>
      <w:r>
        <w:separator/>
      </w:r>
    </w:p>
  </w:endnote>
  <w:endnote w:type="continuationSeparator" w:id="0">
    <w:p w14:paraId="723FC1E6" w14:textId="77777777" w:rsidR="001F5EC6" w:rsidRDefault="001F5EC6" w:rsidP="00F96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BB4DA" w14:textId="003F6182" w:rsidR="00F96445" w:rsidRPr="00D9414A" w:rsidRDefault="00F96445">
    <w:pPr>
      <w:pStyle w:val="Bunntekst"/>
      <w:rPr>
        <w:rFonts w:ascii="Arial" w:hAnsi="Arial" w:cs="Arial"/>
      </w:rPr>
    </w:pPr>
    <w:r w:rsidRPr="00D9414A">
      <w:rPr>
        <w:rFonts w:ascii="Arial" w:hAnsi="Arial" w:cs="Arial"/>
      </w:rPr>
      <w:t>Malene er utarbeidet i samarbeid med Kommunal- og moderniseringsdepartementet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02784" w14:textId="77777777" w:rsidR="001F5EC6" w:rsidRDefault="001F5EC6" w:rsidP="00F96445">
      <w:pPr>
        <w:spacing w:after="0" w:line="240" w:lineRule="auto"/>
      </w:pPr>
      <w:r>
        <w:separator/>
      </w:r>
    </w:p>
  </w:footnote>
  <w:footnote w:type="continuationSeparator" w:id="0">
    <w:p w14:paraId="3CF1E85D" w14:textId="77777777" w:rsidR="001F5EC6" w:rsidRDefault="001F5EC6" w:rsidP="00F964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lvl>
    <w:lvl w:ilvl="1">
      <w:start w:val="1"/>
      <w:numFmt w:val="lowerLetter"/>
      <w:pStyle w:val="alfaliste2"/>
      <w:lvlText w:val="%2."/>
      <w:lvlJc w:val="left"/>
      <w:pPr>
        <w:tabs>
          <w:tab w:val="num" w:pos="794"/>
        </w:tabs>
        <w:ind w:left="794" w:hanging="397"/>
      </w:pPr>
    </w:lvl>
    <w:lvl w:ilvl="2">
      <w:start w:val="1"/>
      <w:numFmt w:val="lowerLetter"/>
      <w:pStyle w:val="alfaliste3"/>
      <w:lvlText w:val="%3."/>
      <w:lvlJc w:val="left"/>
      <w:pPr>
        <w:tabs>
          <w:tab w:val="num" w:pos="1191"/>
        </w:tabs>
        <w:ind w:left="1191" w:hanging="397"/>
      </w:pPr>
    </w:lvl>
    <w:lvl w:ilvl="3">
      <w:start w:val="1"/>
      <w:numFmt w:val="lowerLetter"/>
      <w:pStyle w:val="alfaliste4"/>
      <w:lvlText w:val="%4."/>
      <w:lvlJc w:val="left"/>
      <w:pPr>
        <w:tabs>
          <w:tab w:val="num" w:pos="1588"/>
        </w:tabs>
        <w:ind w:left="1588" w:hanging="397"/>
      </w:pPr>
    </w:lvl>
    <w:lvl w:ilvl="4">
      <w:start w:val="1"/>
      <w:numFmt w:val="lowerLetter"/>
      <w:pStyle w:val="alfaliste5"/>
      <w:lvlText w:val="%5."/>
      <w:lvlJc w:val="left"/>
      <w:pPr>
        <w:tabs>
          <w:tab w:val="num" w:pos="1985"/>
        </w:tabs>
        <w:ind w:left="1985" w:hanging="397"/>
      </w:pPr>
    </w:lvl>
    <w:lvl w:ilvl="5">
      <w:start w:val="1"/>
      <w:numFmt w:val="lowerRoman"/>
      <w:lvlText w:val="(%6)"/>
      <w:lvlJc w:val="left"/>
      <w:pPr>
        <w:tabs>
          <w:tab w:val="num" w:pos="2382"/>
        </w:tabs>
        <w:ind w:left="2382" w:hanging="397"/>
      </w:pPr>
    </w:lvl>
    <w:lvl w:ilvl="6">
      <w:start w:val="1"/>
      <w:numFmt w:val="decimal"/>
      <w:lvlText w:val="%7."/>
      <w:lvlJc w:val="left"/>
      <w:pPr>
        <w:tabs>
          <w:tab w:val="num" w:pos="2779"/>
        </w:tabs>
        <w:ind w:left="2779" w:hanging="397"/>
      </w:pPr>
    </w:lvl>
    <w:lvl w:ilvl="7">
      <w:start w:val="1"/>
      <w:numFmt w:val="lowerLetter"/>
      <w:lvlText w:val="%8."/>
      <w:lvlJc w:val="left"/>
      <w:pPr>
        <w:tabs>
          <w:tab w:val="num" w:pos="3176"/>
        </w:tabs>
        <w:ind w:left="3176" w:hanging="397"/>
      </w:pPr>
    </w:lvl>
    <w:lvl w:ilvl="8">
      <w:start w:val="1"/>
      <w:numFmt w:val="lowerRoman"/>
      <w:lvlText w:val="%9."/>
      <w:lvlJc w:val="left"/>
      <w:pPr>
        <w:tabs>
          <w:tab w:val="num" w:pos="3573"/>
        </w:tabs>
        <w:ind w:left="3573" w:hanging="397"/>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45"/>
    <w:rsid w:val="001F5EC6"/>
    <w:rsid w:val="003A45D5"/>
    <w:rsid w:val="00D9414A"/>
    <w:rsid w:val="00F964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55D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445"/>
    <w:pPr>
      <w:spacing w:line="256" w:lineRule="auto"/>
    </w:pPr>
  </w:style>
  <w:style w:type="paragraph" w:styleId="Overskrift1">
    <w:name w:val="heading 1"/>
    <w:basedOn w:val="Normal"/>
    <w:next w:val="Normal"/>
    <w:link w:val="Overskrift1Tegn"/>
    <w:uiPriority w:val="9"/>
    <w:qFormat/>
    <w:rsid w:val="00F96445"/>
    <w:pPr>
      <w:keepNext/>
      <w:keepLines/>
      <w:spacing w:before="240" w:after="60" w:line="300" w:lineRule="atLeast"/>
      <w:outlineLvl w:val="0"/>
    </w:pPr>
    <w:rPr>
      <w:rFonts w:ascii="Arial" w:eastAsiaTheme="majorEastAsia" w:hAnsi="Arial" w:cstheme="majorBidi"/>
      <w:b/>
      <w:color w:val="000000" w:themeColor="text1"/>
      <w:sz w:val="3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96445"/>
    <w:rPr>
      <w:rFonts w:ascii="Arial" w:eastAsiaTheme="majorEastAsia" w:hAnsi="Arial" w:cstheme="majorBidi"/>
      <w:b/>
      <w:color w:val="000000" w:themeColor="text1"/>
      <w:sz w:val="30"/>
      <w:szCs w:val="32"/>
    </w:rPr>
  </w:style>
  <w:style w:type="paragraph" w:customStyle="1" w:styleId="alfaliste">
    <w:name w:val="alfaliste"/>
    <w:basedOn w:val="Normal"/>
    <w:rsid w:val="00F96445"/>
    <w:pPr>
      <w:numPr>
        <w:numId w:val="1"/>
      </w:numPr>
      <w:spacing w:after="0" w:line="276" w:lineRule="auto"/>
    </w:pPr>
    <w:rPr>
      <w:rFonts w:ascii="Arial" w:eastAsia="Times New Roman" w:hAnsi="Arial"/>
      <w:spacing w:val="4"/>
      <w:lang w:eastAsia="nb-NO"/>
    </w:rPr>
  </w:style>
  <w:style w:type="paragraph" w:customStyle="1" w:styleId="alfaliste2">
    <w:name w:val="alfaliste 2"/>
    <w:basedOn w:val="Normal"/>
    <w:rsid w:val="00F96445"/>
    <w:pPr>
      <w:numPr>
        <w:ilvl w:val="1"/>
        <w:numId w:val="1"/>
      </w:numPr>
      <w:spacing w:after="0" w:line="276" w:lineRule="auto"/>
    </w:pPr>
    <w:rPr>
      <w:rFonts w:ascii="Arial" w:eastAsia="Times New Roman" w:hAnsi="Arial"/>
      <w:spacing w:val="4"/>
      <w:lang w:eastAsia="nb-NO"/>
    </w:rPr>
  </w:style>
  <w:style w:type="paragraph" w:customStyle="1" w:styleId="alfaliste3">
    <w:name w:val="alfaliste 3"/>
    <w:basedOn w:val="Normal"/>
    <w:rsid w:val="00F96445"/>
    <w:pPr>
      <w:numPr>
        <w:ilvl w:val="2"/>
        <w:numId w:val="1"/>
      </w:numPr>
      <w:spacing w:after="0" w:line="276" w:lineRule="auto"/>
    </w:pPr>
    <w:rPr>
      <w:rFonts w:ascii="Arial" w:eastAsia="Times New Roman" w:hAnsi="Arial"/>
      <w:lang w:eastAsia="nb-NO"/>
    </w:rPr>
  </w:style>
  <w:style w:type="paragraph" w:customStyle="1" w:styleId="alfaliste4">
    <w:name w:val="alfaliste 4"/>
    <w:basedOn w:val="Normal"/>
    <w:rsid w:val="00F96445"/>
    <w:pPr>
      <w:numPr>
        <w:ilvl w:val="3"/>
        <w:numId w:val="1"/>
      </w:numPr>
      <w:spacing w:after="0" w:line="276" w:lineRule="auto"/>
    </w:pPr>
    <w:rPr>
      <w:rFonts w:ascii="Arial" w:eastAsia="Times New Roman" w:hAnsi="Arial"/>
      <w:lang w:eastAsia="nb-NO"/>
    </w:rPr>
  </w:style>
  <w:style w:type="paragraph" w:customStyle="1" w:styleId="alfaliste5">
    <w:name w:val="alfaliste 5"/>
    <w:basedOn w:val="Normal"/>
    <w:rsid w:val="00F96445"/>
    <w:pPr>
      <w:numPr>
        <w:ilvl w:val="4"/>
        <w:numId w:val="1"/>
      </w:numPr>
      <w:spacing w:after="0" w:line="276" w:lineRule="auto"/>
    </w:pPr>
    <w:rPr>
      <w:rFonts w:ascii="Arial" w:eastAsia="Times New Roman" w:hAnsi="Arial"/>
      <w:lang w:eastAsia="nb-NO"/>
    </w:rPr>
  </w:style>
  <w:style w:type="paragraph" w:customStyle="1" w:styleId="UnOverskrift1">
    <w:name w:val="UnOverskrift 1"/>
    <w:basedOn w:val="Overskrift1"/>
    <w:next w:val="Normal"/>
    <w:qFormat/>
    <w:rsid w:val="00F96445"/>
    <w:pPr>
      <w:spacing w:before="360" w:after="80" w:line="276" w:lineRule="auto"/>
    </w:pPr>
    <w:rPr>
      <w:rFonts w:eastAsia="Times New Roman" w:cstheme="minorBidi"/>
      <w:color w:val="auto"/>
      <w:kern w:val="28"/>
      <w:sz w:val="32"/>
      <w:szCs w:val="22"/>
      <w:lang w:eastAsia="nb-NO"/>
    </w:rPr>
  </w:style>
  <w:style w:type="numbering" w:customStyle="1" w:styleId="AlfaListeStil">
    <w:name w:val="AlfaListeStil"/>
    <w:uiPriority w:val="99"/>
    <w:rsid w:val="00F96445"/>
    <w:pPr>
      <w:numPr>
        <w:numId w:val="1"/>
      </w:numPr>
    </w:pPr>
  </w:style>
  <w:style w:type="paragraph" w:styleId="Topptekst">
    <w:name w:val="header"/>
    <w:basedOn w:val="Normal"/>
    <w:link w:val="TopptekstTegn"/>
    <w:uiPriority w:val="99"/>
    <w:unhideWhenUsed/>
    <w:rsid w:val="00F9644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96445"/>
  </w:style>
  <w:style w:type="paragraph" w:styleId="Bunntekst">
    <w:name w:val="footer"/>
    <w:basedOn w:val="Normal"/>
    <w:link w:val="BunntekstTegn"/>
    <w:uiPriority w:val="99"/>
    <w:unhideWhenUsed/>
    <w:rsid w:val="00F9644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96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25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19F26DEF5266449814F12506469B07" ma:contentTypeVersion="10" ma:contentTypeDescription="Opprett et nytt dokument." ma:contentTypeScope="" ma:versionID="7be07a74fd08e9989d9b43cdfc2fa2c7">
  <xsd:schema xmlns:xsd="http://www.w3.org/2001/XMLSchema" xmlns:xs="http://www.w3.org/2001/XMLSchema" xmlns:p="http://schemas.microsoft.com/office/2006/metadata/properties" xmlns:ns2="53ff7ce9-b8d4-4ac3-aa2f-9cd61701455f" targetNamespace="http://schemas.microsoft.com/office/2006/metadata/properties" ma:root="true" ma:fieldsID="534ea5c9dd60d97c94f1c4bc831cc0d9" ns2:_="">
    <xsd:import namespace="53ff7ce9-b8d4-4ac3-aa2f-9cd6170145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f7ce9-b8d4-4ac3-aa2f-9cd617014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D8C34E-4E92-4FDE-B4AF-6478D713E0CC}"/>
</file>

<file path=customXml/itemProps2.xml><?xml version="1.0" encoding="utf-8"?>
<ds:datastoreItem xmlns:ds="http://schemas.openxmlformats.org/officeDocument/2006/customXml" ds:itemID="{4D9E876D-4939-4705-A2B6-2BEF1AD8E1C9}"/>
</file>

<file path=customXml/itemProps3.xml><?xml version="1.0" encoding="utf-8"?>
<ds:datastoreItem xmlns:ds="http://schemas.openxmlformats.org/officeDocument/2006/customXml" ds:itemID="{F0A7550C-8708-49D6-A252-384120841139}"/>
</file>

<file path=docProps/app.xml><?xml version="1.0" encoding="utf-8"?>
<Properties xmlns="http://schemas.openxmlformats.org/officeDocument/2006/extended-properties" xmlns:vt="http://schemas.openxmlformats.org/officeDocument/2006/docPropsVTypes">
  <Template>Normal</Template>
  <TotalTime>0</TotalTime>
  <Pages>4</Pages>
  <Words>1592</Words>
  <Characters>8439</Characters>
  <Application>Microsoft Office Word</Application>
  <DocSecurity>0</DocSecurity>
  <Lines>70</Lines>
  <Paragraphs>20</Paragraphs>
  <ScaleCrop>false</ScaleCrop>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2021-07-02T10:34:00Z</dcterms:created>
  <dcterms:modified xsi:type="dcterms:W3CDTF">2021-07-27T12:40:00Z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0x0101005319F26DEF5266449814F12506469B07</vt:lpwstr>
  </property>
</Properties>
</file>